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6448"/>
        </w:tabs>
        <w:kinsoku/>
        <w:overflowPunct/>
        <w:topLinePunct w:val="0"/>
        <w:autoSpaceDE/>
        <w:autoSpaceDN/>
        <w:bidi w:val="0"/>
        <w:adjustRightInd/>
        <w:snapToGrid/>
        <w:spacing w:before="156" w:beforeLines="50" w:after="156" w:afterLines="50" w:line="430" w:lineRule="exact"/>
        <w:ind w:firstLine="447" w:firstLineChars="139"/>
        <w:jc w:val="center"/>
        <w:outlineLvl w:val="0"/>
        <w:rPr>
          <w:rStyle w:val="13"/>
          <w:rFonts w:hint="eastAsia" w:ascii="宋体" w:hAnsi="宋体" w:eastAsia="宋体" w:cs="宋体"/>
          <w:color w:val="auto"/>
          <w:sz w:val="32"/>
          <w:szCs w:val="15"/>
        </w:rPr>
      </w:pPr>
      <w:bookmarkStart w:id="0" w:name="_Toc2640"/>
      <w:bookmarkStart w:id="1" w:name="_Toc32268"/>
      <w:r>
        <w:rPr>
          <w:rStyle w:val="13"/>
          <w:rFonts w:hint="eastAsia" w:ascii="宋体" w:hAnsi="宋体" w:eastAsia="宋体" w:cs="宋体"/>
          <w:color w:val="auto"/>
          <w:sz w:val="32"/>
          <w:szCs w:val="15"/>
        </w:rPr>
        <w:t>第一章  询价公告</w:t>
      </w:r>
      <w:bookmarkEnd w:id="0"/>
      <w:bookmarkEnd w:id="1"/>
    </w:p>
    <w:tbl>
      <w:tblPr>
        <w:tblStyle w:val="11"/>
        <w:tblW w:w="910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9105" w:type="dxa"/>
            <w:noWrap w:val="0"/>
            <w:vAlign w:val="top"/>
          </w:tcPr>
          <w:p>
            <w:pPr>
              <w:keepNext w:val="0"/>
              <w:keepLines w:val="0"/>
              <w:pageBreakBefore w:val="0"/>
              <w:kinsoku/>
              <w:overflowPunct/>
              <w:topLinePunct w:val="0"/>
              <w:autoSpaceDE/>
              <w:autoSpaceDN/>
              <w:bidi w:val="0"/>
              <w:adjustRightInd/>
              <w:snapToGrid/>
              <w:spacing w:line="430" w:lineRule="exact"/>
              <w:ind w:firstLine="482" w:firstLineChars="200"/>
              <w:rPr>
                <w:rFonts w:hint="eastAsia" w:ascii="宋体" w:hAnsi="宋体" w:eastAsia="宋体" w:cs="宋体"/>
                <w:b/>
                <w:bCs/>
                <w:color w:val="auto"/>
                <w:sz w:val="24"/>
                <w:szCs w:val="24"/>
              </w:rPr>
            </w:pPr>
            <w:bookmarkStart w:id="2" w:name="_Toc2479"/>
            <w:bookmarkStart w:id="3" w:name="_Toc17837"/>
            <w:bookmarkStart w:id="4" w:name="_Toc10027"/>
            <w:bookmarkStart w:id="5" w:name="_Toc28359012"/>
            <w:bookmarkStart w:id="6" w:name="_Toc35393798"/>
            <w:bookmarkStart w:id="7" w:name="_Toc35393629"/>
            <w:bookmarkStart w:id="8" w:name="_Toc28359089"/>
            <w:r>
              <w:rPr>
                <w:rFonts w:hint="eastAsia" w:ascii="宋体" w:hAnsi="宋体" w:eastAsia="宋体" w:cs="宋体"/>
                <w:b/>
                <w:bCs/>
                <w:color w:val="auto"/>
                <w:sz w:val="24"/>
                <w:szCs w:val="24"/>
              </w:rPr>
              <w:t>项目概况</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cs="宋体"/>
                <w:bCs/>
                <w:kern w:val="0"/>
                <w:sz w:val="24"/>
                <w:szCs w:val="24"/>
                <w:lang w:val="en-US" w:eastAsia="zh-CN"/>
              </w:rPr>
              <w:t>固始县中医院购置碎石清石设备项目</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潜在投标人应在《全国公共资源交易平台（河南省•固始县）》注册入库并办理CA后获取询价通知书，并于20</w:t>
            </w: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 xml:space="preserve"> 8 </w:t>
            </w:r>
            <w:r>
              <w:rPr>
                <w:rFonts w:hint="eastAsia" w:ascii="宋体" w:hAnsi="宋体" w:eastAsia="宋体" w:cs="宋体"/>
                <w:color w:val="auto"/>
                <w:sz w:val="24"/>
                <w:szCs w:val="24"/>
              </w:rPr>
              <w:t>时</w:t>
            </w:r>
            <w:r>
              <w:rPr>
                <w:rFonts w:hint="eastAsia" w:ascii="宋体" w:hAnsi="宋体" w:cs="宋体"/>
                <w:color w:val="auto"/>
                <w:sz w:val="24"/>
                <w:szCs w:val="24"/>
                <w:lang w:val="en-US" w:eastAsia="zh-CN"/>
              </w:rPr>
              <w:t xml:space="preserve"> 30 </w:t>
            </w:r>
            <w:r>
              <w:rPr>
                <w:rFonts w:hint="eastAsia" w:ascii="宋体" w:hAnsi="宋体" w:eastAsia="宋体" w:cs="宋体"/>
                <w:color w:val="auto"/>
                <w:sz w:val="24"/>
                <w:szCs w:val="24"/>
              </w:rPr>
              <w:t>分（北京时间）前上传投标文件。本项目开标实行不见面开标，投标人无需到现场参加开标会议。请各潜在投标单位于投标截止时间前登录不见面开标大厅网站（http://www.gsggzy.cn:9084/BidOpening/bidopeninghallaction/hall/login）签到并上传投标文件。</w:t>
            </w:r>
          </w:p>
        </w:tc>
      </w:tr>
      <w:bookmarkEnd w:id="2"/>
      <w:bookmarkEnd w:id="3"/>
      <w:bookmarkEnd w:id="4"/>
    </w:tbl>
    <w:p>
      <w:pPr>
        <w:keepNext w:val="0"/>
        <w:keepLines w:val="0"/>
        <w:pageBreakBefore w:val="0"/>
        <w:kinsoku/>
        <w:overflowPunct/>
        <w:topLinePunct w:val="0"/>
        <w:autoSpaceDE/>
        <w:autoSpaceDN/>
        <w:bidi w:val="0"/>
        <w:adjustRightInd/>
        <w:snapToGrid/>
        <w:spacing w:line="430" w:lineRule="exact"/>
        <w:ind w:firstLine="482" w:firstLineChars="200"/>
        <w:rPr>
          <w:rFonts w:hint="eastAsia" w:ascii="宋体" w:hAnsi="宋体" w:eastAsia="宋体" w:cs="宋体"/>
          <w:b/>
          <w:bCs/>
          <w:color w:val="auto"/>
          <w:sz w:val="24"/>
          <w:szCs w:val="24"/>
        </w:rPr>
      </w:pPr>
      <w:bookmarkStart w:id="9" w:name="_Toc18947"/>
      <w:bookmarkStart w:id="10" w:name="_Toc24781"/>
      <w:r>
        <w:rPr>
          <w:rFonts w:hint="eastAsia" w:ascii="宋体" w:hAnsi="宋体" w:eastAsia="宋体" w:cs="宋体"/>
          <w:b/>
          <w:bCs/>
          <w:color w:val="auto"/>
          <w:sz w:val="24"/>
          <w:szCs w:val="24"/>
        </w:rPr>
        <w:t>一、项目基本情况</w:t>
      </w:r>
      <w:bookmarkEnd w:id="5"/>
      <w:bookmarkEnd w:id="6"/>
      <w:bookmarkEnd w:id="7"/>
      <w:bookmarkEnd w:id="8"/>
      <w:bookmarkEnd w:id="9"/>
      <w:bookmarkEnd w:id="10"/>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highlight w:val="none"/>
        </w:rPr>
      </w:pPr>
      <w:bookmarkStart w:id="11" w:name="_Toc3989"/>
      <w:r>
        <w:rPr>
          <w:rFonts w:hint="eastAsia" w:ascii="宋体" w:hAnsi="宋体" w:eastAsia="宋体" w:cs="宋体"/>
          <w:color w:val="auto"/>
          <w:sz w:val="24"/>
          <w:szCs w:val="24"/>
          <w:highlight w:val="none"/>
        </w:rPr>
        <w:t>1.项目编号：</w:t>
      </w:r>
      <w:bookmarkEnd w:id="11"/>
      <w:r>
        <w:rPr>
          <w:rFonts w:hint="eastAsia" w:ascii="宋体" w:hAnsi="宋体" w:cs="宋体"/>
          <w:bCs/>
          <w:kern w:val="0"/>
          <w:sz w:val="24"/>
          <w:szCs w:val="24"/>
          <w:highlight w:val="none"/>
          <w:lang w:val="en-US" w:eastAsia="zh-CN"/>
        </w:rPr>
        <w:t>GCXZ-2021-028</w:t>
      </w:r>
      <w:r>
        <w:rPr>
          <w:rFonts w:hint="eastAsia" w:ascii="宋体" w:hAnsi="宋体" w:eastAsia="宋体" w:cs="宋体"/>
          <w:color w:val="auto"/>
          <w:sz w:val="24"/>
          <w:szCs w:val="24"/>
          <w:highlight w:val="none"/>
        </w:rPr>
        <w:t>；</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bookmarkStart w:id="12" w:name="_Toc29330"/>
      <w:r>
        <w:rPr>
          <w:rFonts w:hint="eastAsia" w:ascii="宋体" w:hAnsi="宋体" w:eastAsia="宋体" w:cs="宋体"/>
          <w:color w:val="auto"/>
          <w:sz w:val="24"/>
          <w:szCs w:val="24"/>
        </w:rPr>
        <w:t>2.项目名称：</w:t>
      </w:r>
      <w:r>
        <w:rPr>
          <w:rFonts w:hint="eastAsia" w:ascii="宋体" w:hAnsi="宋体" w:cs="宋体"/>
          <w:bCs/>
          <w:kern w:val="0"/>
          <w:sz w:val="24"/>
          <w:szCs w:val="24"/>
          <w:lang w:val="en-US" w:eastAsia="zh-CN"/>
        </w:rPr>
        <w:t>固始县中医院购置碎石清石设备项目</w:t>
      </w:r>
      <w:r>
        <w:rPr>
          <w:rFonts w:hint="eastAsia" w:ascii="宋体" w:hAnsi="宋体" w:eastAsia="宋体" w:cs="宋体"/>
          <w:color w:val="auto"/>
          <w:sz w:val="24"/>
          <w:szCs w:val="24"/>
        </w:rPr>
        <w:t>；</w:t>
      </w:r>
      <w:bookmarkEnd w:id="12"/>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bookmarkStart w:id="13" w:name="_Toc27695"/>
      <w:r>
        <w:rPr>
          <w:rFonts w:hint="eastAsia" w:ascii="宋体" w:hAnsi="宋体" w:eastAsia="宋体" w:cs="宋体"/>
          <w:color w:val="auto"/>
          <w:sz w:val="24"/>
          <w:szCs w:val="24"/>
        </w:rPr>
        <w:t>3.采购方式：询价；</w:t>
      </w:r>
      <w:bookmarkEnd w:id="13"/>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bookmarkStart w:id="14" w:name="_Toc7817"/>
      <w:r>
        <w:rPr>
          <w:rFonts w:hint="eastAsia" w:ascii="宋体" w:hAnsi="宋体" w:eastAsia="宋体" w:cs="宋体"/>
          <w:color w:val="auto"/>
          <w:sz w:val="24"/>
          <w:szCs w:val="24"/>
        </w:rPr>
        <w:t>4.预算金额：</w:t>
      </w:r>
      <w:r>
        <w:rPr>
          <w:rFonts w:hint="eastAsia" w:ascii="宋体" w:hAnsi="宋体" w:cs="宋体"/>
          <w:color w:val="auto"/>
          <w:sz w:val="24"/>
          <w:szCs w:val="24"/>
          <w:lang w:val="en-US" w:eastAsia="zh-CN"/>
        </w:rPr>
        <w:t>855300.00</w:t>
      </w:r>
      <w:r>
        <w:rPr>
          <w:rFonts w:hint="eastAsia" w:ascii="宋体" w:hAnsi="宋体" w:eastAsia="宋体" w:cs="宋体"/>
          <w:color w:val="auto"/>
          <w:sz w:val="24"/>
          <w:szCs w:val="24"/>
        </w:rPr>
        <w:t>元；最高限价：</w:t>
      </w:r>
      <w:r>
        <w:rPr>
          <w:rFonts w:hint="eastAsia" w:ascii="宋体" w:hAnsi="宋体" w:cs="宋体"/>
          <w:color w:val="auto"/>
          <w:sz w:val="24"/>
          <w:szCs w:val="24"/>
          <w:lang w:val="en-US" w:eastAsia="zh-CN"/>
        </w:rPr>
        <w:t>855300.00</w:t>
      </w:r>
      <w:r>
        <w:rPr>
          <w:rFonts w:hint="eastAsia" w:ascii="宋体" w:hAnsi="宋体" w:eastAsia="宋体" w:cs="宋体"/>
          <w:color w:val="auto"/>
          <w:sz w:val="24"/>
          <w:szCs w:val="24"/>
        </w:rPr>
        <w:t>元；</w:t>
      </w:r>
      <w:bookmarkEnd w:id="14"/>
    </w:p>
    <w:tbl>
      <w:tblPr>
        <w:tblStyle w:val="11"/>
        <w:tblW w:w="48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806"/>
        <w:gridCol w:w="3755"/>
        <w:gridCol w:w="129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04" w:type="pct"/>
            <w:noWrap w:val="0"/>
            <w:vAlign w:val="center"/>
          </w:tcPr>
          <w:p>
            <w:pPr>
              <w:keepNext w:val="0"/>
              <w:keepLines w:val="0"/>
              <w:pageBreakBefore w:val="0"/>
              <w:tabs>
                <w:tab w:val="left" w:pos="537"/>
              </w:tabs>
              <w:kinsoku/>
              <w:overflowPunct/>
              <w:topLinePunct w:val="0"/>
              <w:autoSpaceDE/>
              <w:autoSpaceDN/>
              <w:bidi w:val="0"/>
              <w:adjustRightInd/>
              <w:snapToGrid/>
              <w:spacing w:line="430" w:lineRule="exact"/>
              <w:jc w:val="center"/>
              <w:rPr>
                <w:rFonts w:hint="eastAsia" w:ascii="宋体" w:hAnsi="宋体" w:eastAsia="宋体" w:cs="宋体"/>
                <w:b/>
                <w:bCs/>
                <w:color w:val="auto"/>
                <w:sz w:val="24"/>
                <w:szCs w:val="24"/>
              </w:rPr>
            </w:pPr>
            <w:bookmarkStart w:id="15" w:name="_Toc21785"/>
            <w:r>
              <w:rPr>
                <w:rFonts w:hint="eastAsia" w:ascii="宋体" w:hAnsi="宋体" w:eastAsia="宋体" w:cs="宋体"/>
                <w:b/>
                <w:bCs/>
                <w:color w:val="auto"/>
                <w:sz w:val="24"/>
                <w:szCs w:val="24"/>
              </w:rPr>
              <w:t>序号</w:t>
            </w:r>
          </w:p>
        </w:tc>
        <w:tc>
          <w:tcPr>
            <w:tcW w:w="492" w:type="pct"/>
            <w:noWrap w:val="0"/>
            <w:vAlign w:val="center"/>
          </w:tcPr>
          <w:p>
            <w:pPr>
              <w:keepNext w:val="0"/>
              <w:keepLines w:val="0"/>
              <w:pageBreakBefore w:val="0"/>
              <w:tabs>
                <w:tab w:val="left" w:pos="537"/>
              </w:tabs>
              <w:kinsoku/>
              <w:overflowPunct/>
              <w:topLinePunct w:val="0"/>
              <w:autoSpaceDE/>
              <w:autoSpaceDN/>
              <w:bidi w:val="0"/>
              <w:adjustRightInd/>
              <w:snapToGrid/>
              <w:spacing w:line="43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包号</w:t>
            </w:r>
          </w:p>
        </w:tc>
        <w:tc>
          <w:tcPr>
            <w:tcW w:w="2285" w:type="pct"/>
            <w:noWrap w:val="0"/>
            <w:vAlign w:val="center"/>
          </w:tcPr>
          <w:p>
            <w:pPr>
              <w:keepNext w:val="0"/>
              <w:keepLines w:val="0"/>
              <w:pageBreakBefore w:val="0"/>
              <w:tabs>
                <w:tab w:val="left" w:pos="537"/>
              </w:tabs>
              <w:kinsoku/>
              <w:overflowPunct/>
              <w:topLinePunct w:val="0"/>
              <w:autoSpaceDE/>
              <w:autoSpaceDN/>
              <w:bidi w:val="0"/>
              <w:adjustRightInd/>
              <w:snapToGrid/>
              <w:spacing w:line="43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包名称</w:t>
            </w:r>
          </w:p>
        </w:tc>
        <w:tc>
          <w:tcPr>
            <w:tcW w:w="782" w:type="pct"/>
            <w:noWrap w:val="0"/>
            <w:vAlign w:val="center"/>
          </w:tcPr>
          <w:p>
            <w:pPr>
              <w:keepNext w:val="0"/>
              <w:keepLines w:val="0"/>
              <w:pageBreakBefore w:val="0"/>
              <w:tabs>
                <w:tab w:val="left" w:pos="537"/>
              </w:tabs>
              <w:kinsoku/>
              <w:overflowPunct/>
              <w:topLinePunct w:val="0"/>
              <w:autoSpaceDE/>
              <w:autoSpaceDN/>
              <w:bidi w:val="0"/>
              <w:adjustRightInd/>
              <w:snapToGrid/>
              <w:spacing w:line="43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包预算（元）</w:t>
            </w:r>
          </w:p>
        </w:tc>
        <w:tc>
          <w:tcPr>
            <w:tcW w:w="1034" w:type="pct"/>
            <w:noWrap w:val="0"/>
            <w:vAlign w:val="center"/>
          </w:tcPr>
          <w:p>
            <w:pPr>
              <w:keepNext w:val="0"/>
              <w:keepLines w:val="0"/>
              <w:pageBreakBefore w:val="0"/>
              <w:tabs>
                <w:tab w:val="left" w:pos="537"/>
              </w:tabs>
              <w:kinsoku/>
              <w:overflowPunct/>
              <w:topLinePunct w:val="0"/>
              <w:autoSpaceDE/>
              <w:autoSpaceDN/>
              <w:bidi w:val="0"/>
              <w:adjustRightInd/>
              <w:snapToGrid/>
              <w:spacing w:line="43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04" w:type="pct"/>
            <w:noWrap w:val="0"/>
            <w:vAlign w:val="center"/>
          </w:tcPr>
          <w:p>
            <w:pPr>
              <w:keepNext w:val="0"/>
              <w:keepLines w:val="0"/>
              <w:pageBreakBefore w:val="0"/>
              <w:tabs>
                <w:tab w:val="left" w:pos="537"/>
              </w:tabs>
              <w:kinsoku/>
              <w:overflowPunct/>
              <w:topLinePunct w:val="0"/>
              <w:autoSpaceDE/>
              <w:autoSpaceDN/>
              <w:bidi w:val="0"/>
              <w:adjustRightInd/>
              <w:snapToGrid/>
              <w:spacing w:line="43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92" w:type="pct"/>
            <w:noWrap w:val="0"/>
            <w:vAlign w:val="center"/>
          </w:tcPr>
          <w:p>
            <w:pPr>
              <w:keepNext w:val="0"/>
              <w:keepLines w:val="0"/>
              <w:pageBreakBefore w:val="0"/>
              <w:tabs>
                <w:tab w:val="left" w:pos="537"/>
              </w:tabs>
              <w:kinsoku/>
              <w:overflowPunct/>
              <w:topLinePunct w:val="0"/>
              <w:autoSpaceDE/>
              <w:autoSpaceDN/>
              <w:bidi w:val="0"/>
              <w:adjustRightInd/>
              <w:snapToGrid/>
              <w:spacing w:line="43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85" w:type="pct"/>
            <w:noWrap w:val="0"/>
            <w:vAlign w:val="center"/>
          </w:tcPr>
          <w:p>
            <w:pPr>
              <w:keepNext w:val="0"/>
              <w:keepLines w:val="0"/>
              <w:pageBreakBefore w:val="0"/>
              <w:kinsoku/>
              <w:overflowPunct/>
              <w:topLinePunct w:val="0"/>
              <w:autoSpaceDE/>
              <w:autoSpaceDN/>
              <w:bidi w:val="0"/>
              <w:adjustRightInd/>
              <w:snapToGrid/>
              <w:spacing w:line="430" w:lineRule="exact"/>
              <w:ind w:firstLine="480" w:firstLineChars="200"/>
              <w:jc w:val="center"/>
              <w:textAlignment w:val="center"/>
              <w:rPr>
                <w:rFonts w:hint="eastAsia" w:ascii="宋体" w:hAnsi="宋体" w:eastAsia="宋体" w:cs="宋体"/>
                <w:color w:val="auto"/>
                <w:kern w:val="0"/>
                <w:sz w:val="24"/>
                <w:szCs w:val="24"/>
                <w:lang w:bidi="ar"/>
              </w:rPr>
            </w:pPr>
            <w:r>
              <w:rPr>
                <w:rFonts w:hint="eastAsia" w:ascii="宋体" w:hAnsi="宋体" w:cs="宋体"/>
                <w:bCs/>
                <w:kern w:val="0"/>
                <w:sz w:val="24"/>
                <w:szCs w:val="24"/>
                <w:lang w:val="en-US" w:eastAsia="zh-CN"/>
              </w:rPr>
              <w:t>固始县中医院购置碎石清石设备项目</w:t>
            </w:r>
          </w:p>
        </w:tc>
        <w:tc>
          <w:tcPr>
            <w:tcW w:w="782" w:type="pct"/>
            <w:noWrap w:val="0"/>
            <w:vAlign w:val="center"/>
          </w:tcPr>
          <w:p>
            <w:pPr>
              <w:keepNext w:val="0"/>
              <w:keepLines w:val="0"/>
              <w:pageBreakBefore w:val="0"/>
              <w:kinsoku/>
              <w:overflowPunct/>
              <w:topLinePunct w:val="0"/>
              <w:autoSpaceDE/>
              <w:autoSpaceDN/>
              <w:bidi w:val="0"/>
              <w:adjustRightInd/>
              <w:snapToGrid/>
              <w:spacing w:line="430" w:lineRule="exact"/>
              <w:jc w:val="righ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855300.00</w:t>
            </w:r>
            <w:r>
              <w:rPr>
                <w:rFonts w:hint="eastAsia" w:ascii="宋体" w:hAnsi="宋体" w:eastAsia="宋体" w:cs="宋体"/>
                <w:color w:val="auto"/>
                <w:sz w:val="24"/>
                <w:szCs w:val="24"/>
                <w:lang w:val="en-US" w:eastAsia="zh-CN"/>
              </w:rPr>
              <w:t xml:space="preserve"> </w:t>
            </w:r>
          </w:p>
        </w:tc>
        <w:tc>
          <w:tcPr>
            <w:tcW w:w="1034" w:type="pct"/>
            <w:noWrap w:val="0"/>
            <w:vAlign w:val="center"/>
          </w:tcPr>
          <w:p>
            <w:pPr>
              <w:keepNext w:val="0"/>
              <w:keepLines w:val="0"/>
              <w:pageBreakBefore w:val="0"/>
              <w:kinsoku/>
              <w:overflowPunct/>
              <w:topLinePunct w:val="0"/>
              <w:autoSpaceDE/>
              <w:autoSpaceDN/>
              <w:bidi w:val="0"/>
              <w:adjustRightInd/>
              <w:snapToGrid/>
              <w:spacing w:line="430" w:lineRule="exact"/>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855300</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.00</w:t>
            </w:r>
          </w:p>
        </w:tc>
      </w:tr>
    </w:tbl>
    <w:p>
      <w:pPr>
        <w:keepNext w:val="0"/>
        <w:keepLines w:val="0"/>
        <w:pageBreakBefore w:val="0"/>
        <w:numPr>
          <w:ilvl w:val="0"/>
          <w:numId w:val="0"/>
        </w:numPr>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采购需求：（包括但不限于标的的名称、数量、简要技术需求或服务要求等）</w:t>
      </w:r>
      <w:bookmarkEnd w:id="15"/>
      <w:bookmarkStart w:id="16" w:name="_Toc21976"/>
      <w:bookmarkStart w:id="17" w:name="_Toc28359013"/>
      <w:bookmarkStart w:id="18" w:name="_Toc28359090"/>
      <w:bookmarkStart w:id="19" w:name="_Toc35393630"/>
      <w:bookmarkStart w:id="20" w:name="_Toc35393799"/>
      <w:bookmarkStart w:id="21" w:name="_Toc11934"/>
    </w:p>
    <w:p>
      <w:pPr>
        <w:keepNext w:val="0"/>
        <w:keepLines w:val="0"/>
        <w:pageBreakBefore w:val="0"/>
        <w:numPr>
          <w:ilvl w:val="0"/>
          <w:numId w:val="0"/>
        </w:numPr>
        <w:kinsoku/>
        <w:overflowPunct/>
        <w:topLinePunct w:val="0"/>
        <w:autoSpaceDE/>
        <w:autoSpaceDN/>
        <w:bidi w:val="0"/>
        <w:adjustRightInd/>
        <w:snapToGrid/>
        <w:spacing w:line="430" w:lineRule="exact"/>
        <w:ind w:left="420" w:leftChars="200"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5.1 采购内容：</w:t>
      </w:r>
      <w:r>
        <w:rPr>
          <w:rFonts w:hint="eastAsia" w:ascii="宋体" w:hAnsi="宋体" w:cs="宋体"/>
          <w:bCs/>
          <w:kern w:val="0"/>
          <w:sz w:val="24"/>
          <w:szCs w:val="24"/>
          <w:lang w:val="en-US" w:eastAsia="zh-CN"/>
        </w:rPr>
        <w:t>固始县中医院购置碎石清石设备</w:t>
      </w:r>
      <w:r>
        <w:rPr>
          <w:rFonts w:hint="eastAsia" w:ascii="宋体" w:hAnsi="宋体" w:eastAsia="宋体" w:cs="宋体"/>
          <w:color w:val="auto"/>
          <w:kern w:val="2"/>
          <w:sz w:val="24"/>
          <w:szCs w:val="24"/>
        </w:rPr>
        <w:t>。</w:t>
      </w:r>
    </w:p>
    <w:p>
      <w:pPr>
        <w:keepNext w:val="0"/>
        <w:keepLines w:val="0"/>
        <w:pageBreakBefore w:val="0"/>
        <w:numPr>
          <w:ilvl w:val="0"/>
          <w:numId w:val="0"/>
        </w:numPr>
        <w:kinsoku/>
        <w:overflowPunct/>
        <w:topLinePunct w:val="0"/>
        <w:autoSpaceDE/>
        <w:autoSpaceDN/>
        <w:bidi w:val="0"/>
        <w:adjustRightInd/>
        <w:snapToGrid/>
        <w:spacing w:line="430" w:lineRule="exact"/>
        <w:ind w:left="420" w:leftChars="200" w:firstLine="0" w:firstLineChars="0"/>
        <w:rPr>
          <w:rFonts w:hint="eastAsia" w:ascii="宋体" w:hAnsi="宋体" w:eastAsia="宋体" w:cs="宋体"/>
          <w:bCs/>
          <w:color w:val="auto"/>
          <w:spacing w:val="-6"/>
          <w:kern w:val="2"/>
          <w:sz w:val="24"/>
          <w:szCs w:val="24"/>
        </w:rPr>
      </w:pPr>
      <w:r>
        <w:rPr>
          <w:rFonts w:hint="eastAsia" w:ascii="宋体" w:hAnsi="宋体" w:eastAsia="宋体" w:cs="宋体"/>
          <w:bCs/>
          <w:color w:val="auto"/>
          <w:spacing w:val="-6"/>
          <w:kern w:val="2"/>
          <w:sz w:val="24"/>
          <w:szCs w:val="24"/>
        </w:rPr>
        <w:t>5.2</w:t>
      </w:r>
      <w:r>
        <w:rPr>
          <w:rFonts w:hint="eastAsia" w:ascii="宋体" w:hAnsi="宋体" w:eastAsia="宋体" w:cs="宋体"/>
          <w:bCs/>
          <w:color w:val="auto"/>
          <w:spacing w:val="-6"/>
          <w:kern w:val="2"/>
          <w:sz w:val="24"/>
          <w:szCs w:val="24"/>
          <w:lang w:eastAsia="zh-CN"/>
        </w:rPr>
        <w:t>供货期限</w:t>
      </w:r>
      <w:r>
        <w:rPr>
          <w:rFonts w:hint="eastAsia" w:ascii="宋体" w:hAnsi="宋体" w:eastAsia="宋体" w:cs="宋体"/>
          <w:bCs/>
          <w:color w:val="auto"/>
          <w:spacing w:val="-6"/>
          <w:kern w:val="2"/>
          <w:sz w:val="24"/>
          <w:szCs w:val="24"/>
        </w:rPr>
        <w:t>：</w:t>
      </w:r>
      <w:r>
        <w:rPr>
          <w:rFonts w:hint="eastAsia" w:ascii="宋体" w:hAnsi="宋体" w:eastAsia="宋体" w:cs="宋体"/>
          <w:bCs/>
          <w:color w:val="auto"/>
          <w:spacing w:val="-6"/>
          <w:kern w:val="2"/>
          <w:sz w:val="24"/>
          <w:szCs w:val="24"/>
          <w:lang w:eastAsia="zh-CN"/>
        </w:rPr>
        <w:t>合同签订之日起</w:t>
      </w:r>
      <w:r>
        <w:rPr>
          <w:rFonts w:hint="eastAsia" w:ascii="宋体" w:hAnsi="宋体" w:eastAsia="宋体" w:cs="宋体"/>
          <w:bCs/>
          <w:color w:val="auto"/>
          <w:spacing w:val="-6"/>
          <w:kern w:val="2"/>
          <w:sz w:val="24"/>
          <w:szCs w:val="24"/>
          <w:lang w:val="en-US" w:eastAsia="zh-CN"/>
        </w:rPr>
        <w:t>20日历天</w:t>
      </w:r>
      <w:r>
        <w:rPr>
          <w:rFonts w:hint="eastAsia" w:ascii="宋体" w:hAnsi="宋体" w:eastAsia="宋体" w:cs="宋体"/>
          <w:bCs/>
          <w:color w:val="auto"/>
          <w:spacing w:val="-6"/>
          <w:kern w:val="2"/>
          <w:sz w:val="24"/>
          <w:szCs w:val="24"/>
        </w:rPr>
        <w:t>。</w:t>
      </w:r>
    </w:p>
    <w:p>
      <w:pPr>
        <w:pStyle w:val="10"/>
        <w:keepNext w:val="0"/>
        <w:keepLines w:val="0"/>
        <w:pageBreakBefore w:val="0"/>
        <w:widowControl/>
        <w:kinsoku/>
        <w:wordWrap w:val="0"/>
        <w:overflowPunct/>
        <w:topLinePunct w:val="0"/>
        <w:autoSpaceDE/>
        <w:autoSpaceDN/>
        <w:bidi w:val="0"/>
        <w:adjustRightInd/>
        <w:snapToGrid/>
        <w:spacing w:line="430" w:lineRule="exact"/>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5.3</w:t>
      </w:r>
      <w:r>
        <w:rPr>
          <w:rFonts w:hint="eastAsia" w:ascii="宋体" w:hAnsi="宋体" w:eastAsia="宋体" w:cs="宋体"/>
          <w:bCs/>
          <w:color w:val="auto"/>
          <w:kern w:val="2"/>
          <w:sz w:val="24"/>
          <w:szCs w:val="24"/>
          <w:highlight w:val="none"/>
        </w:rPr>
        <w:t>质保期：</w:t>
      </w:r>
      <w:r>
        <w:rPr>
          <w:rFonts w:hint="eastAsia" w:ascii="宋体" w:hAnsi="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rPr>
        <w:t>。</w:t>
      </w:r>
    </w:p>
    <w:p>
      <w:pPr>
        <w:pStyle w:val="10"/>
        <w:keepNext w:val="0"/>
        <w:keepLines w:val="0"/>
        <w:pageBreakBefore w:val="0"/>
        <w:widowControl/>
        <w:kinsoku/>
        <w:wordWrap w:val="0"/>
        <w:overflowPunct/>
        <w:topLinePunct w:val="0"/>
        <w:autoSpaceDE/>
        <w:autoSpaceDN/>
        <w:bidi w:val="0"/>
        <w:adjustRightInd/>
        <w:snapToGrid/>
        <w:spacing w:line="430" w:lineRule="exact"/>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 xml:space="preserve">5.4质量标准：符合国家或行业规定的合格标准。 </w:t>
      </w:r>
    </w:p>
    <w:p>
      <w:pPr>
        <w:keepNext w:val="0"/>
        <w:keepLines w:val="0"/>
        <w:pageBreakBefore w:val="0"/>
        <w:numPr>
          <w:ilvl w:val="0"/>
          <w:numId w:val="1"/>
        </w:numPr>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合同签订之日起</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日历天</w:t>
      </w:r>
      <w:r>
        <w:rPr>
          <w:rFonts w:hint="eastAsia" w:ascii="宋体" w:hAnsi="宋体" w:eastAsia="宋体" w:cs="宋体"/>
          <w:bCs/>
          <w:color w:val="auto"/>
          <w:sz w:val="24"/>
          <w:szCs w:val="24"/>
        </w:rPr>
        <w:t>。</w:t>
      </w:r>
    </w:p>
    <w:p>
      <w:pPr>
        <w:pStyle w:val="10"/>
        <w:keepNext w:val="0"/>
        <w:keepLines w:val="0"/>
        <w:pageBreakBefore w:val="0"/>
        <w:widowControl/>
        <w:kinsoku/>
        <w:wordWrap w:val="0"/>
        <w:overflowPunct/>
        <w:topLinePunct w:val="0"/>
        <w:autoSpaceDE/>
        <w:autoSpaceDN/>
        <w:bidi w:val="0"/>
        <w:adjustRightInd/>
        <w:snapToGrid/>
        <w:spacing w:line="430" w:lineRule="exact"/>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7、本项目是否接受联合体投标：否 。</w:t>
      </w:r>
    </w:p>
    <w:p>
      <w:pPr>
        <w:pStyle w:val="10"/>
        <w:keepNext w:val="0"/>
        <w:keepLines w:val="0"/>
        <w:pageBreakBefore w:val="0"/>
        <w:widowControl/>
        <w:kinsoku/>
        <w:wordWrap w:val="0"/>
        <w:overflowPunct/>
        <w:topLinePunct w:val="0"/>
        <w:autoSpaceDE/>
        <w:autoSpaceDN/>
        <w:bidi w:val="0"/>
        <w:adjustRightInd/>
        <w:snapToGrid/>
        <w:spacing w:line="43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bCs/>
          <w:color w:val="auto"/>
          <w:kern w:val="2"/>
          <w:sz w:val="24"/>
          <w:szCs w:val="24"/>
        </w:rPr>
        <w:t>8、是否接受进口产品：否 。</w:t>
      </w:r>
    </w:p>
    <w:p>
      <w:pPr>
        <w:keepNext w:val="0"/>
        <w:keepLines w:val="0"/>
        <w:pageBreakBefore w:val="0"/>
        <w:kinsoku/>
        <w:overflowPunct/>
        <w:topLinePunct w:val="0"/>
        <w:autoSpaceDE/>
        <w:autoSpaceDN/>
        <w:bidi w:val="0"/>
        <w:adjustRightInd/>
        <w:snapToGrid/>
        <w:spacing w:line="43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bookmarkEnd w:id="16"/>
      <w:bookmarkEnd w:id="17"/>
      <w:bookmarkEnd w:id="18"/>
      <w:bookmarkEnd w:id="19"/>
      <w:bookmarkEnd w:id="20"/>
      <w:bookmarkEnd w:id="21"/>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bookmarkStart w:id="22" w:name="_Toc28359091"/>
      <w:bookmarkStart w:id="23" w:name="_Toc35393800"/>
      <w:bookmarkStart w:id="24" w:name="_Toc11910"/>
      <w:bookmarkStart w:id="25" w:name="_Toc28359014"/>
      <w:bookmarkStart w:id="26" w:name="_Toc35393631"/>
      <w:r>
        <w:rPr>
          <w:rFonts w:hint="eastAsia" w:ascii="宋体" w:hAnsi="宋体" w:eastAsia="宋体" w:cs="宋体"/>
          <w:color w:val="auto"/>
          <w:sz w:val="24"/>
          <w:szCs w:val="24"/>
        </w:rPr>
        <w:t>1.满足《中华人民共和国政府采购法》第二十二条规定。</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2.落实政府采购政策需满足的资格要求：本项目执行促进中小型企业发展政策（残疾人福利性企业、监狱企业视同小微企业）、优先采购节能环保产品等政府采购政策。</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①具有独立承担民事责任的能力；（具有独立企业法人资格，营业执照在有效期内）</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②具有良好的商业信誉和健全的财务会计制度；（</w:t>
      </w:r>
      <w:r>
        <w:rPr>
          <w:rFonts w:hint="eastAsia" w:ascii="宋体" w:hAnsi="宋体" w:eastAsia="宋体" w:cs="宋体"/>
          <w:color w:val="auto"/>
          <w:sz w:val="24"/>
          <w:szCs w:val="24"/>
          <w:highlight w:val="none"/>
        </w:rPr>
        <w:t>提供2020</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lang w:val="en-US" w:eastAsia="zh-CN"/>
        </w:rPr>
        <w:t>2021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任意一年</w:t>
      </w:r>
      <w:r>
        <w:rPr>
          <w:rFonts w:hint="eastAsia" w:ascii="宋体" w:hAnsi="宋体" w:eastAsia="宋体" w:cs="宋体"/>
          <w:color w:val="auto"/>
          <w:sz w:val="24"/>
          <w:szCs w:val="24"/>
          <w:highlight w:val="none"/>
        </w:rPr>
        <w:t>度财务审计报告</w:t>
      </w:r>
      <w:r>
        <w:rPr>
          <w:rFonts w:hint="eastAsia" w:ascii="宋体" w:hAnsi="宋体" w:eastAsia="宋体" w:cs="宋体"/>
          <w:color w:val="auto"/>
          <w:sz w:val="24"/>
          <w:szCs w:val="24"/>
        </w:rPr>
        <w:t>，成立不足一年的，需提供基本户银行开具的资信证明）</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③具有履行合同所必需的设备和专业技术能力；(供应商自行作出承诺，格式自拟)</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④具有依法缴纳税收和社会保障资金的良好记录；（提供2021年以来任意连续三个月依法缴纳税收和社会保障资金等相关证明资料，依法免税或不需要缴纳社会保障资金的供应商，应提供相应证明文件）</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⑤参加政府采购活动前三年内，在经营活动中没有重大违法记录；（提供近三年内在经营活动中没有重大违法记录承诺函，格式自拟）</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法律、行政法规规定的其他条件。（提供通过“信用中国”网站（www.creditchina.gov.cn）和中国政府采购网（www.ccgp.gov.cn）渠道查询企业信用记录的网页版打印扫描件加盖单位公章，列入失信惩戒对象、重点关注名单、政府采购严重违法失信行为记录名单的供应商，不得参加本项目的投标。</w:t>
      </w:r>
      <w:r>
        <w:rPr>
          <w:rFonts w:hint="eastAsia" w:ascii="宋体" w:hAnsi="宋体" w:eastAsia="宋体" w:cs="宋体"/>
          <w:color w:val="auto"/>
          <w:sz w:val="24"/>
          <w:szCs w:val="24"/>
          <w:lang w:eastAsia="zh-CN"/>
        </w:rPr>
        <w:t>注：查询企业信用记录时间为招标公告发布之后</w:t>
      </w:r>
      <w:r>
        <w:rPr>
          <w:rFonts w:hint="eastAsia" w:ascii="宋体" w:hAnsi="宋体" w:eastAsia="宋体" w:cs="宋体"/>
          <w:color w:val="auto"/>
          <w:sz w:val="24"/>
          <w:szCs w:val="24"/>
        </w:rPr>
        <w:t>）</w:t>
      </w:r>
    </w:p>
    <w:p>
      <w:pPr>
        <w:keepNext w:val="0"/>
        <w:keepLines w:val="0"/>
        <w:pageBreakBefore w:val="0"/>
        <w:kinsoku/>
        <w:overflowPunct/>
        <w:topLinePunct w:val="0"/>
        <w:autoSpaceDE/>
        <w:autoSpaceDN/>
        <w:bidi w:val="0"/>
        <w:adjustRightInd/>
        <w:snapToGrid/>
        <w:spacing w:line="43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三、获取询价文件</w:t>
      </w:r>
      <w:bookmarkEnd w:id="22"/>
      <w:bookmarkEnd w:id="23"/>
      <w:bookmarkEnd w:id="24"/>
      <w:bookmarkEnd w:id="25"/>
      <w:bookmarkEnd w:id="26"/>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bookmarkStart w:id="27" w:name="_Toc4296"/>
      <w:bookmarkStart w:id="28" w:name="_Toc35393632"/>
      <w:bookmarkStart w:id="29" w:name="_Toc28359092"/>
      <w:bookmarkStart w:id="30" w:name="_Toc2704"/>
      <w:bookmarkStart w:id="31" w:name="_Toc35393801"/>
      <w:bookmarkStart w:id="32" w:name="_Toc28359015"/>
      <w:r>
        <w:rPr>
          <w:rFonts w:hint="eastAsia" w:ascii="宋体" w:hAnsi="宋体" w:eastAsia="宋体" w:cs="宋体"/>
          <w:color w:val="auto"/>
          <w:sz w:val="24"/>
          <w:szCs w:val="24"/>
        </w:rPr>
        <w:t>1.</w:t>
      </w:r>
      <w:bookmarkEnd w:id="27"/>
      <w:bookmarkStart w:id="33" w:name="_Toc30128"/>
      <w:r>
        <w:rPr>
          <w:rFonts w:hint="eastAsia" w:ascii="宋体" w:hAnsi="宋体" w:eastAsia="宋体" w:cs="宋体"/>
          <w:color w:val="auto"/>
          <w:sz w:val="24"/>
          <w:szCs w:val="24"/>
        </w:rPr>
        <w:t>时间：</w:t>
      </w:r>
      <w:r>
        <w:rPr>
          <w:rFonts w:hint="eastAsia" w:ascii="宋体" w:hAnsi="宋体" w:cs="宋体"/>
          <w:color w:val="auto"/>
          <w:sz w:val="24"/>
          <w:szCs w:val="24"/>
          <w:lang w:val="en-US" w:eastAsia="zh-CN"/>
        </w:rPr>
        <w:t>2022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3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16</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 xml:space="preserve">8 </w:t>
      </w:r>
      <w:r>
        <w:rPr>
          <w:rFonts w:hint="eastAsia" w:ascii="宋体" w:hAnsi="宋体" w:eastAsia="宋体" w:cs="宋体"/>
          <w:color w:val="auto"/>
          <w:sz w:val="24"/>
          <w:szCs w:val="24"/>
        </w:rPr>
        <w:t>时</w:t>
      </w:r>
      <w:r>
        <w:rPr>
          <w:rFonts w:hint="eastAsia" w:ascii="宋体" w:hAnsi="宋体" w:cs="宋体"/>
          <w:color w:val="auto"/>
          <w:sz w:val="24"/>
          <w:szCs w:val="24"/>
          <w:lang w:val="en-US" w:eastAsia="zh-CN"/>
        </w:rPr>
        <w:t xml:space="preserve">30 </w:t>
      </w:r>
      <w:r>
        <w:rPr>
          <w:rFonts w:hint="eastAsia" w:ascii="宋体" w:hAnsi="宋体" w:eastAsia="宋体" w:cs="宋体"/>
          <w:color w:val="auto"/>
          <w:sz w:val="24"/>
          <w:szCs w:val="24"/>
        </w:rPr>
        <w:t>分 至</w:t>
      </w:r>
      <w:r>
        <w:rPr>
          <w:rFonts w:hint="eastAsia" w:ascii="宋体" w:hAnsi="宋体" w:cs="宋体"/>
          <w:color w:val="auto"/>
          <w:sz w:val="24"/>
          <w:szCs w:val="24"/>
          <w:lang w:val="en-US" w:eastAsia="zh-CN"/>
        </w:rPr>
        <w:t>2022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3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 xml:space="preserve"> 17</w:t>
      </w:r>
      <w:bookmarkStart w:id="83" w:name="_GoBack"/>
      <w:bookmarkEnd w:id="83"/>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0分（北京时间，法定节假日除外）；</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2.地点：该项目实施网上免费获取询价文件，潜在投标人首次参与投标活动的须登陆《全国公共资源交易平台（河南省•固始县）》注册入库并办理CA后方可下载询价文件；</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3.方式：需凭注册且通过中心备案的相关账号，通过《全国公共资源交易平台（河南省•固始县）》网站“投标企业登录”入口登录后进行相关操作</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售价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0元。</w:t>
      </w:r>
    </w:p>
    <w:p>
      <w:pPr>
        <w:keepNext w:val="0"/>
        <w:keepLines w:val="0"/>
        <w:pageBreakBefore w:val="0"/>
        <w:kinsoku/>
        <w:overflowPunct/>
        <w:topLinePunct w:val="0"/>
        <w:autoSpaceDE/>
        <w:autoSpaceDN/>
        <w:bidi w:val="0"/>
        <w:adjustRightInd/>
        <w:snapToGrid/>
        <w:spacing w:line="43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四、</w:t>
      </w:r>
      <w:bookmarkEnd w:id="28"/>
      <w:bookmarkEnd w:id="29"/>
      <w:bookmarkEnd w:id="30"/>
      <w:bookmarkEnd w:id="31"/>
      <w:bookmarkEnd w:id="32"/>
      <w:bookmarkEnd w:id="33"/>
      <w:r>
        <w:rPr>
          <w:rFonts w:hint="eastAsia" w:ascii="宋体" w:hAnsi="宋体" w:eastAsia="宋体" w:cs="宋体"/>
          <w:b/>
          <w:bCs/>
          <w:color w:val="auto"/>
          <w:sz w:val="24"/>
          <w:szCs w:val="24"/>
        </w:rPr>
        <w:t>提交投标文件截止时间、开标时间和地点:</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bookmarkStart w:id="34" w:name="_Toc977"/>
      <w:bookmarkStart w:id="35" w:name="_Toc35393633"/>
      <w:bookmarkStart w:id="36" w:name="_Toc28359093"/>
      <w:bookmarkStart w:id="37" w:name="_Toc4018"/>
      <w:bookmarkStart w:id="38" w:name="_Toc28359016"/>
      <w:bookmarkStart w:id="39" w:name="_Toc35393802"/>
      <w:r>
        <w:rPr>
          <w:rFonts w:hint="eastAsia" w:ascii="宋体" w:hAnsi="宋体" w:eastAsia="宋体" w:cs="宋体"/>
          <w:color w:val="auto"/>
          <w:sz w:val="24"/>
          <w:szCs w:val="24"/>
        </w:rPr>
        <w:t>1.时间：20</w:t>
      </w: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3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21 </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 xml:space="preserve">08 </w:t>
      </w:r>
      <w:r>
        <w:rPr>
          <w:rFonts w:hint="eastAsia" w:ascii="宋体" w:hAnsi="宋体" w:eastAsia="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分（北京时间）</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2.询价地点：固始县公共资源交易中心六楼不见面第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开标室；各投标人应在响应文件递交截止时间前上传加密的电子响应文件到系统的指定位置。上传的电子响应文件应使用CA数字证书认证并加密。上传时必须得到交易系统“上传成功”的确认回复后方为上传成功。请投标人在上传前务必认真检查上传响应文件是否完整、正确；</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3.加密电子投标文件逾期上传的招标人不予受理。</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人应当在投标截止时间前，使用投标人CA数字证书登录不见面开标大厅，在线签到并准时参加开标活动，并在规定时间内完成投标文件解密、答疑澄清等；不见面开标网址http://www.gsggzy.cn:9084/BidOpening/bidopeninghallaction/hall/index</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5.逾期解密或者没有准时在线签到参加开标活动导致的一切后果投标人自行承担。</w:t>
      </w:r>
    </w:p>
    <w:p>
      <w:pPr>
        <w:keepNext w:val="0"/>
        <w:keepLines w:val="0"/>
        <w:pageBreakBefore w:val="0"/>
        <w:kinsoku/>
        <w:overflowPunct/>
        <w:topLinePunct w:val="0"/>
        <w:autoSpaceDE/>
        <w:autoSpaceDN/>
        <w:bidi w:val="0"/>
        <w:adjustRightInd/>
        <w:snapToGrid/>
        <w:spacing w:line="43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特别提示：投标人在线签到时，应如实准确的填写授权委托人的联系电话，开标当天请务必保证电话保持畅通；</w:t>
      </w:r>
    </w:p>
    <w:p>
      <w:pPr>
        <w:keepNext w:val="0"/>
        <w:keepLines w:val="0"/>
        <w:pageBreakBefore w:val="0"/>
        <w:kinsoku/>
        <w:overflowPunct/>
        <w:topLinePunct w:val="0"/>
        <w:autoSpaceDE/>
        <w:autoSpaceDN/>
        <w:bidi w:val="0"/>
        <w:adjustRightInd/>
        <w:snapToGrid/>
        <w:spacing w:line="43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五、</w:t>
      </w:r>
      <w:bookmarkEnd w:id="34"/>
      <w:bookmarkEnd w:id="35"/>
      <w:bookmarkEnd w:id="36"/>
      <w:bookmarkEnd w:id="37"/>
      <w:bookmarkEnd w:id="38"/>
      <w:bookmarkEnd w:id="39"/>
      <w:bookmarkStart w:id="40" w:name="_Toc28359094"/>
      <w:bookmarkStart w:id="41" w:name="_Toc15188"/>
      <w:bookmarkStart w:id="42" w:name="_Toc35393803"/>
      <w:bookmarkStart w:id="43" w:name="_Toc28359017"/>
      <w:bookmarkStart w:id="44" w:name="_Toc35393634"/>
      <w:bookmarkStart w:id="45" w:name="_Toc6406"/>
      <w:r>
        <w:rPr>
          <w:rFonts w:hint="eastAsia" w:ascii="宋体" w:hAnsi="宋体" w:eastAsia="宋体" w:cs="宋体"/>
          <w:b/>
          <w:bCs/>
          <w:color w:val="auto"/>
          <w:sz w:val="24"/>
          <w:szCs w:val="24"/>
        </w:rPr>
        <w:t>公告发布媒介及公告期限</w:t>
      </w:r>
      <w:bookmarkEnd w:id="40"/>
      <w:bookmarkEnd w:id="41"/>
      <w:bookmarkEnd w:id="42"/>
      <w:bookmarkEnd w:id="43"/>
      <w:bookmarkEnd w:id="44"/>
      <w:bookmarkEnd w:id="45"/>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bookmarkStart w:id="46" w:name="_Toc11918"/>
      <w:bookmarkStart w:id="47" w:name="_Toc35393635"/>
      <w:bookmarkStart w:id="48" w:name="_Toc35393804"/>
      <w:r>
        <w:rPr>
          <w:rFonts w:hint="eastAsia" w:ascii="宋体" w:hAnsi="宋体" w:eastAsia="宋体" w:cs="宋体"/>
          <w:color w:val="auto"/>
          <w:sz w:val="24"/>
          <w:szCs w:val="24"/>
        </w:rPr>
        <w:t>本次公告在《河南省政府采购网》、《全国公共资源交易平台（河南省•</w:t>
      </w:r>
      <w:r>
        <w:rPr>
          <w:rFonts w:hint="eastAsia" w:ascii="宋体" w:hAnsi="宋体" w:eastAsia="宋体" w:cs="宋体"/>
          <w:color w:val="auto"/>
          <w:sz w:val="24"/>
          <w:szCs w:val="24"/>
          <w:lang w:eastAsia="zh-CN"/>
        </w:rPr>
        <w:t>固始</w:t>
      </w:r>
      <w:r>
        <w:rPr>
          <w:rFonts w:hint="eastAsia" w:ascii="宋体" w:hAnsi="宋体" w:eastAsia="宋体" w:cs="宋体"/>
          <w:color w:val="auto"/>
          <w:sz w:val="24"/>
          <w:szCs w:val="24"/>
        </w:rPr>
        <w:t>》网上发布；</w:t>
      </w:r>
      <w:bookmarkEnd w:id="46"/>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bookmarkStart w:id="49" w:name="_Toc13183"/>
      <w:r>
        <w:rPr>
          <w:rFonts w:hint="eastAsia" w:ascii="宋体" w:hAnsi="宋体" w:eastAsia="宋体" w:cs="宋体"/>
          <w:color w:val="auto"/>
          <w:sz w:val="24"/>
          <w:szCs w:val="24"/>
        </w:rPr>
        <w:t>公告期限为三个工作日。</w:t>
      </w:r>
      <w:bookmarkEnd w:id="49"/>
    </w:p>
    <w:p>
      <w:pPr>
        <w:keepNext w:val="0"/>
        <w:keepLines w:val="0"/>
        <w:pageBreakBefore w:val="0"/>
        <w:kinsoku/>
        <w:overflowPunct/>
        <w:topLinePunct w:val="0"/>
        <w:autoSpaceDE/>
        <w:autoSpaceDN/>
        <w:bidi w:val="0"/>
        <w:adjustRightInd/>
        <w:snapToGrid/>
        <w:spacing w:line="430" w:lineRule="exact"/>
        <w:rPr>
          <w:rFonts w:hint="eastAsia" w:ascii="宋体" w:hAnsi="宋体" w:eastAsia="宋体" w:cs="宋体"/>
          <w:b/>
          <w:bCs/>
          <w:color w:val="auto"/>
          <w:sz w:val="24"/>
          <w:szCs w:val="24"/>
        </w:rPr>
      </w:pPr>
      <w:bookmarkStart w:id="50" w:name="_Toc16622"/>
      <w:bookmarkStart w:id="51" w:name="_Toc27648"/>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、其他补充事宜</w:t>
      </w:r>
      <w:bookmarkEnd w:id="47"/>
      <w:bookmarkEnd w:id="48"/>
      <w:bookmarkEnd w:id="50"/>
      <w:bookmarkEnd w:id="51"/>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lang w:val="zh-CN"/>
        </w:rPr>
      </w:pPr>
      <w:bookmarkStart w:id="52" w:name="_Toc28359018"/>
      <w:bookmarkStart w:id="53" w:name="_Toc35393805"/>
      <w:bookmarkStart w:id="54" w:name="_Toc35393636"/>
      <w:bookmarkStart w:id="55" w:name="_Toc28359095"/>
      <w:bookmarkStart w:id="56" w:name="_Toc4941"/>
      <w:bookmarkStart w:id="57" w:name="_Toc10685"/>
      <w:r>
        <w:rPr>
          <w:rFonts w:hint="eastAsia" w:ascii="宋体" w:hAnsi="宋体" w:eastAsia="宋体" w:cs="宋体"/>
          <w:color w:val="auto"/>
          <w:sz w:val="24"/>
          <w:szCs w:val="24"/>
          <w:lang w:val="zh-CN"/>
        </w:rPr>
        <w:t>1.凡有意参加本项目的供应商，请登陆“固始县公共资源交易中心（www.gsggzy.cn）”网站进行交易主体注册，按网站公告通知有关要求填报企业信息和上传有关原件扫描件，完成主体注册。根据固始县公共资源交易中心关于办理CA数字证书及电子签章的公告，办理CA数字证书。</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请供应商企业报名下载招标文件后，及时关注系统业务菜单（“答疑澄清文件领取”，“控制价文件领取”）内该项目是否有新的答疑澄清文件或控制价文件。如有请直接下载，不再另行通知。</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供应商必须在投标截止时间前通过固始县公共资源交易中心电子招投标系统上传电子投标文件(*.gstf 格式)。上传的投标文件应使用供应商CA数字证书认证并加密。</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本项目评标以电子投标文件为依据，未在投标截止时间前上传电子投标文件的供应商，视为自动放弃其投标。</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不见面开标服务的具体事宜，请查阅固始县公共资源交易中心网站首页—下载中心—固始县不见面开标大厅系统操作手册。</w:t>
      </w:r>
    </w:p>
    <w:p>
      <w:pPr>
        <w:pStyle w:val="2"/>
        <w:rPr>
          <w:rFonts w:hint="eastAsia"/>
          <w:lang w:val="zh-CN"/>
        </w:rPr>
      </w:pPr>
    </w:p>
    <w:p>
      <w:pPr>
        <w:keepNext w:val="0"/>
        <w:keepLines w:val="0"/>
        <w:pageBreakBefore w:val="0"/>
        <w:kinsoku/>
        <w:overflowPunct/>
        <w:topLinePunct w:val="0"/>
        <w:autoSpaceDE/>
        <w:autoSpaceDN/>
        <w:bidi w:val="0"/>
        <w:adjustRightInd/>
        <w:snapToGrid/>
        <w:spacing w:line="43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、凡对本次采购提出询问，请按以下方式联系</w:t>
      </w:r>
      <w:bookmarkEnd w:id="52"/>
      <w:bookmarkEnd w:id="53"/>
      <w:bookmarkEnd w:id="54"/>
      <w:bookmarkEnd w:id="55"/>
      <w:bookmarkEnd w:id="56"/>
      <w:bookmarkEnd w:id="57"/>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bookmarkStart w:id="58" w:name="_Toc28359096"/>
      <w:bookmarkStart w:id="59" w:name="_Toc31707"/>
      <w:bookmarkStart w:id="60" w:name="_Toc35393806"/>
      <w:bookmarkStart w:id="61" w:name="_Toc28359019"/>
      <w:bookmarkStart w:id="62" w:name="_Toc35393637"/>
      <w:bookmarkStart w:id="63" w:name="_Toc665"/>
      <w:r>
        <w:rPr>
          <w:rFonts w:hint="eastAsia" w:ascii="宋体" w:hAnsi="宋体" w:eastAsia="宋体" w:cs="宋体"/>
          <w:color w:val="auto"/>
          <w:sz w:val="24"/>
          <w:szCs w:val="24"/>
        </w:rPr>
        <w:t>1.采购人信息</w:t>
      </w:r>
      <w:bookmarkEnd w:id="58"/>
      <w:bookmarkEnd w:id="59"/>
      <w:bookmarkEnd w:id="60"/>
      <w:bookmarkEnd w:id="61"/>
      <w:bookmarkEnd w:id="62"/>
      <w:bookmarkEnd w:id="63"/>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bookmarkStart w:id="64" w:name="_Toc2330"/>
      <w:r>
        <w:rPr>
          <w:rFonts w:hint="eastAsia" w:ascii="宋体" w:hAnsi="宋体" w:eastAsia="宋体" w:cs="宋体"/>
          <w:color w:val="auto"/>
          <w:sz w:val="24"/>
          <w:szCs w:val="24"/>
        </w:rPr>
        <w:t>名    称：</w:t>
      </w:r>
      <w:bookmarkEnd w:id="64"/>
      <w:bookmarkStart w:id="65" w:name="_Toc10058"/>
      <w:r>
        <w:rPr>
          <w:rFonts w:hint="eastAsia" w:ascii="宋体" w:hAnsi="宋体" w:eastAsia="宋体" w:cs="宋体"/>
          <w:color w:val="auto"/>
          <w:sz w:val="24"/>
          <w:szCs w:val="24"/>
          <w:lang w:val="en-US" w:eastAsia="zh-CN"/>
        </w:rPr>
        <w:t>固始县中医院</w:t>
      </w:r>
      <w:r>
        <w:rPr>
          <w:rFonts w:hint="eastAsia" w:ascii="宋体" w:hAnsi="宋体" w:eastAsia="宋体" w:cs="宋体"/>
          <w:color w:val="auto"/>
          <w:sz w:val="24"/>
          <w:szCs w:val="24"/>
        </w:rPr>
        <w:t xml:space="preserve"> </w:t>
      </w:r>
    </w:p>
    <w:p>
      <w:pPr>
        <w:keepNext w:val="0"/>
        <w:keepLines w:val="0"/>
        <w:pageBreakBefore w:val="0"/>
        <w:kinsoku/>
        <w:overflowPunct/>
        <w:topLinePunct w:val="0"/>
        <w:autoSpaceDE/>
        <w:autoSpaceDN/>
        <w:bidi w:val="0"/>
        <w:adjustRightInd/>
        <w:snapToGrid/>
        <w:spacing w:line="43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    址：</w:t>
      </w:r>
      <w:bookmarkEnd w:id="65"/>
      <w:r>
        <w:rPr>
          <w:rFonts w:hint="eastAsia" w:ascii="宋体" w:hAnsi="宋体" w:eastAsia="宋体" w:cs="宋体"/>
          <w:color w:val="auto"/>
          <w:sz w:val="24"/>
          <w:szCs w:val="24"/>
          <w:lang w:eastAsia="zh-CN"/>
        </w:rPr>
        <w:t>固始县</w:t>
      </w:r>
      <w:r>
        <w:rPr>
          <w:rFonts w:hint="eastAsia" w:ascii="宋体" w:hAnsi="宋体" w:cs="宋体"/>
          <w:color w:val="auto"/>
          <w:sz w:val="24"/>
          <w:szCs w:val="24"/>
          <w:lang w:val="en-US" w:eastAsia="zh-CN"/>
        </w:rPr>
        <w:t>成功大道西段</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lang w:val="en-US" w:eastAsia="zh-CN"/>
        </w:rPr>
      </w:pPr>
      <w:bookmarkStart w:id="66" w:name="_Toc31841"/>
      <w:r>
        <w:rPr>
          <w:rFonts w:hint="eastAsia" w:ascii="宋体" w:hAnsi="宋体" w:eastAsia="宋体" w:cs="宋体"/>
          <w:color w:val="auto"/>
          <w:sz w:val="24"/>
          <w:szCs w:val="24"/>
        </w:rPr>
        <w:t>联 系 人</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饶先生</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bookmarkEnd w:id="66"/>
      <w:bookmarkStart w:id="67" w:name="_Toc28359020"/>
      <w:bookmarkStart w:id="68" w:name="_Toc28359097"/>
      <w:bookmarkStart w:id="69" w:name="_Toc10591"/>
      <w:bookmarkStart w:id="70" w:name="_Toc13296"/>
      <w:bookmarkStart w:id="71" w:name="_Toc35393807"/>
      <w:bookmarkStart w:id="72" w:name="_Toc35393638"/>
      <w:r>
        <w:rPr>
          <w:rFonts w:hint="eastAsia" w:ascii="宋体" w:hAnsi="宋体" w:eastAsia="宋体" w:cs="宋体"/>
          <w:color w:val="auto"/>
          <w:sz w:val="24"/>
          <w:szCs w:val="24"/>
          <w:lang w:val="en-US" w:eastAsia="zh-CN"/>
        </w:rPr>
        <w:t>18237649226</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bookmarkEnd w:id="67"/>
      <w:bookmarkEnd w:id="68"/>
      <w:bookmarkEnd w:id="69"/>
      <w:bookmarkEnd w:id="70"/>
      <w:bookmarkEnd w:id="71"/>
      <w:bookmarkEnd w:id="72"/>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cs="宋体"/>
          <w:bCs/>
          <w:kern w:val="0"/>
          <w:sz w:val="24"/>
          <w:szCs w:val="24"/>
          <w:lang w:val="en-US" w:eastAsia="zh-CN"/>
        </w:rPr>
      </w:pPr>
      <w:bookmarkStart w:id="73" w:name="_Toc1663"/>
      <w:r>
        <w:rPr>
          <w:rFonts w:hint="eastAsia" w:ascii="宋体" w:hAnsi="宋体" w:eastAsia="宋体" w:cs="宋体"/>
          <w:color w:val="auto"/>
          <w:sz w:val="24"/>
          <w:szCs w:val="24"/>
        </w:rPr>
        <w:t>名    称：</w:t>
      </w:r>
      <w:bookmarkEnd w:id="73"/>
      <w:bookmarkStart w:id="74" w:name="_Toc4935"/>
      <w:r>
        <w:rPr>
          <w:rFonts w:hint="eastAsia" w:ascii="宋体" w:hAnsi="宋体" w:cs="宋体"/>
          <w:bCs/>
          <w:kern w:val="0"/>
          <w:sz w:val="24"/>
          <w:szCs w:val="24"/>
          <w:lang w:val="en-US" w:eastAsia="zh-CN"/>
        </w:rPr>
        <w:t>华春建设工程项目管理有限责任公司</w:t>
      </w:r>
    </w:p>
    <w:p>
      <w:pPr>
        <w:pStyle w:val="10"/>
        <w:keepNext w:val="0"/>
        <w:keepLines w:val="0"/>
        <w:pageBreakBefore w:val="0"/>
        <w:widowControl/>
        <w:kinsoku/>
        <w:overflowPunct/>
        <w:topLinePunct w:val="0"/>
        <w:autoSpaceDE/>
        <w:autoSpaceDN/>
        <w:bidi w:val="0"/>
        <w:adjustRightInd/>
        <w:snapToGrid/>
        <w:spacing w:line="430" w:lineRule="exact"/>
        <w:ind w:left="1679" w:leftChars="228" w:hanging="1200" w:hangingChars="500"/>
        <w:rPr>
          <w:rFonts w:ascii="Calibri" w:hAnsi="Calibri" w:eastAsia="微软雅黑" w:cs="Calibri"/>
          <w:color w:val="333333"/>
          <w:sz w:val="24"/>
          <w:szCs w:val="24"/>
        </w:rPr>
      </w:pPr>
      <w:r>
        <w:rPr>
          <w:rFonts w:hint="eastAsia" w:ascii="宋体" w:hAnsi="宋体" w:eastAsia="宋体" w:cs="宋体"/>
          <w:color w:val="auto"/>
          <w:sz w:val="24"/>
          <w:szCs w:val="24"/>
        </w:rPr>
        <w:t>地    址：</w:t>
      </w:r>
      <w:bookmarkEnd w:id="74"/>
      <w:bookmarkStart w:id="75" w:name="_Toc20224"/>
      <w:r>
        <w:rPr>
          <w:rFonts w:hint="eastAsia" w:cs="宋体"/>
          <w:color w:val="333333"/>
          <w:sz w:val="24"/>
          <w:szCs w:val="24"/>
        </w:rPr>
        <w:t>河南省信阳市固始县蓼城大道与成功大道交叉口蓼城壹号广场1120</w:t>
      </w:r>
      <w:r>
        <w:rPr>
          <w:rFonts w:ascii="Calibri" w:hAnsi="Calibri" w:eastAsia="微软雅黑" w:cs="Calibri"/>
          <w:color w:val="333333"/>
          <w:sz w:val="24"/>
          <w:szCs w:val="24"/>
        </w:rPr>
        <w:t> </w:t>
      </w:r>
    </w:p>
    <w:p>
      <w:pPr>
        <w:keepNext w:val="0"/>
        <w:keepLines w:val="0"/>
        <w:pageBreakBefore w:val="0"/>
        <w:kinsoku/>
        <w:overflowPunct/>
        <w:topLinePunct w:val="0"/>
        <w:autoSpaceDE/>
        <w:autoSpaceDN/>
        <w:bidi w:val="0"/>
        <w:adjustRightInd/>
        <w:snapToGrid/>
        <w:spacing w:line="43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 系 人</w:t>
      </w:r>
      <w:bookmarkEnd w:id="75"/>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张女士</w:t>
      </w:r>
    </w:p>
    <w:p>
      <w:pPr>
        <w:keepNext w:val="0"/>
        <w:keepLines w:val="0"/>
        <w:pageBreakBefore w:val="0"/>
        <w:kinsoku/>
        <w:overflowPunct/>
        <w:topLinePunct w:val="0"/>
        <w:autoSpaceDE/>
        <w:autoSpaceDN/>
        <w:bidi w:val="0"/>
        <w:adjustRightInd/>
        <w:snapToGrid/>
        <w:spacing w:line="43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      话：</w:t>
      </w:r>
      <w:bookmarkStart w:id="76" w:name="_Toc6331"/>
      <w:bookmarkStart w:id="77" w:name="_Toc35393808"/>
      <w:bookmarkStart w:id="78" w:name="_Toc28359098"/>
      <w:bookmarkStart w:id="79" w:name="_Toc28359021"/>
      <w:bookmarkStart w:id="80" w:name="_Toc35393639"/>
      <w:bookmarkStart w:id="81" w:name="_Toc9933"/>
      <w:r>
        <w:rPr>
          <w:rFonts w:hint="eastAsia" w:ascii="宋体" w:hAnsi="宋体" w:eastAsia="宋体" w:cs="宋体"/>
          <w:color w:val="auto"/>
          <w:sz w:val="24"/>
          <w:szCs w:val="24"/>
          <w:lang w:val="en-US" w:eastAsia="zh-CN"/>
        </w:rPr>
        <w:t>19139343299</w:t>
      </w:r>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bookmarkEnd w:id="76"/>
      <w:bookmarkEnd w:id="77"/>
      <w:bookmarkEnd w:id="78"/>
      <w:bookmarkEnd w:id="79"/>
      <w:bookmarkEnd w:id="80"/>
      <w:bookmarkEnd w:id="81"/>
    </w:p>
    <w:p>
      <w:pPr>
        <w:keepNext w:val="0"/>
        <w:keepLines w:val="0"/>
        <w:pageBreakBefore w:val="0"/>
        <w:kinsoku/>
        <w:overflowPunct/>
        <w:topLinePunct w:val="0"/>
        <w:autoSpaceDE/>
        <w:autoSpaceDN/>
        <w:bidi w:val="0"/>
        <w:adjustRightInd/>
        <w:snapToGrid/>
        <w:spacing w:line="430" w:lineRule="exact"/>
        <w:ind w:firstLine="480" w:firstLineChars="200"/>
        <w:rPr>
          <w:rFonts w:hint="eastAsia" w:ascii="宋体" w:hAnsi="宋体" w:eastAsia="宋体" w:cs="宋体"/>
          <w:color w:val="auto"/>
          <w:sz w:val="24"/>
          <w:szCs w:val="24"/>
          <w:lang w:val="en-US" w:eastAsia="zh-CN"/>
        </w:rPr>
      </w:pPr>
      <w:bookmarkStart w:id="82" w:name="_Toc20018"/>
      <w:r>
        <w:rPr>
          <w:rFonts w:hint="eastAsia" w:ascii="宋体" w:hAnsi="宋体" w:eastAsia="宋体" w:cs="宋体"/>
          <w:color w:val="auto"/>
          <w:sz w:val="24"/>
          <w:szCs w:val="24"/>
        </w:rPr>
        <w:t>项目联系人：</w:t>
      </w:r>
      <w:bookmarkEnd w:id="82"/>
      <w:r>
        <w:rPr>
          <w:rFonts w:hint="eastAsia" w:ascii="宋体" w:hAnsi="宋体" w:eastAsia="宋体" w:cs="宋体"/>
          <w:color w:val="auto"/>
          <w:sz w:val="24"/>
          <w:szCs w:val="24"/>
          <w:lang w:val="en-US" w:eastAsia="zh-CN"/>
        </w:rPr>
        <w:t>张女士</w:t>
      </w:r>
    </w:p>
    <w:p>
      <w:pPr>
        <w:keepNext w:val="0"/>
        <w:keepLines w:val="0"/>
        <w:pageBreakBefore w:val="0"/>
        <w:kinsoku/>
        <w:overflowPunct/>
        <w:topLinePunct w:val="0"/>
        <w:autoSpaceDE/>
        <w:autoSpaceDN/>
        <w:bidi w:val="0"/>
        <w:adjustRightInd/>
        <w:snapToGrid/>
        <w:spacing w:line="43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19139343299</w:t>
      </w:r>
    </w:p>
    <w:p>
      <w:pPr>
        <w:keepNext w:val="0"/>
        <w:keepLines w:val="0"/>
        <w:pageBreakBefore w:val="0"/>
        <w:kinsoku/>
        <w:overflowPunct/>
        <w:topLinePunct w:val="0"/>
        <w:autoSpaceDE/>
        <w:autoSpaceDN/>
        <w:bidi w:val="0"/>
        <w:adjustRightInd/>
        <w:snapToGrid/>
        <w:spacing w:line="43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F2A86"/>
    <w:multiLevelType w:val="singleLevel"/>
    <w:tmpl w:val="660F2A8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90D65"/>
    <w:rsid w:val="3F9002EA"/>
    <w:rsid w:val="499C2DFF"/>
    <w:rsid w:val="4E70108D"/>
    <w:rsid w:val="50302B01"/>
    <w:rsid w:val="557B3B8E"/>
    <w:rsid w:val="66241034"/>
    <w:rsid w:val="75B5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jc w:val="left"/>
      <w:textAlignment w:val="baseline"/>
    </w:pPr>
    <w:rPr>
      <w:kern w:val="0"/>
    </w:r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1"/>
    <w:uiPriority w:val="0"/>
    <w:pPr>
      <w:spacing w:after="120" w:afterLines="0" w:afterAutospacing="0"/>
    </w:pPr>
  </w:style>
  <w:style w:type="paragraph" w:styleId="7">
    <w:name w:val="Plain Text"/>
    <w:basedOn w:val="1"/>
    <w:qFormat/>
    <w:uiPriority w:val="0"/>
    <w:rPr>
      <w:rFonts w:ascii="宋体" w:hAnsi="Courier New" w:eastAsia="幼圆"/>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customStyle="1" w:styleId="13">
    <w:name w:val="标题 1 Char1"/>
    <w:link w:val="6"/>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2143</Words>
  <Characters>2477</Characters>
  <Lines>0</Lines>
  <Paragraphs>0</Paragraphs>
  <TotalTime>32</TotalTime>
  <ScaleCrop>false</ScaleCrop>
  <LinksUpToDate>false</LinksUpToDate>
  <CharactersWithSpaces>2543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2022-03-09T09:23:00Z</dcterms:created>
  <dc:creator>47600</dc:creator>
  <cp:lastModifiedBy>林聪（东岸雅居）</cp:lastModifiedBy>
  <cp:lastPrinted>2022-03-10T00:41:00Z</cp:lastPrinted>
  <dcterms:modified xsi:type="dcterms:W3CDTF">2022-03-15T07:28:17Z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C9CC84728D984ECB9EF1648FA1F7E56D</vt:lpwstr>
  </property>
</Properties>
</file>